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8E9A1">
      <w:pPr>
        <w:snapToGrid w:val="0"/>
        <w:spacing w:line="440" w:lineRule="exact"/>
        <w:jc w:val="center"/>
        <w:rPr>
          <w:rFonts w:eastAsia="方正小标宋简体"/>
          <w:sz w:val="32"/>
          <w:szCs w:val="32"/>
        </w:rPr>
      </w:pPr>
      <w:r>
        <w:rPr>
          <w:rFonts w:hint="eastAsia" w:eastAsia="方正小标宋简体"/>
          <w:sz w:val="32"/>
          <w:szCs w:val="32"/>
          <w:lang w:eastAsia="zh-CN"/>
        </w:rPr>
        <w:t>2026年福州市儿童头盔产品质量监督抽查实施细则</w:t>
      </w:r>
    </w:p>
    <w:p w14:paraId="450D66A6">
      <w:pPr>
        <w:snapToGrid w:val="0"/>
        <w:spacing w:line="440" w:lineRule="exact"/>
        <w:ind w:firstLine="359" w:firstLineChars="171"/>
        <w:rPr>
          <w:szCs w:val="21"/>
        </w:rPr>
      </w:pPr>
    </w:p>
    <w:p w14:paraId="3BEFC5DC">
      <w:pPr>
        <w:snapToGrid w:val="0"/>
        <w:spacing w:line="440" w:lineRule="exact"/>
        <w:rPr>
          <w:rFonts w:eastAsia="黑体"/>
          <w:szCs w:val="21"/>
        </w:rPr>
      </w:pPr>
      <w:r>
        <w:rPr>
          <w:rFonts w:eastAsia="黑体"/>
          <w:szCs w:val="21"/>
        </w:rPr>
        <w:t>1 抽样方法</w:t>
      </w:r>
    </w:p>
    <w:p w14:paraId="60367BC7">
      <w:pPr>
        <w:snapToGrid w:val="0"/>
        <w:spacing w:line="440" w:lineRule="exact"/>
        <w:ind w:firstLine="420" w:firstLineChars="200"/>
        <w:rPr>
          <w:szCs w:val="21"/>
        </w:rPr>
      </w:pPr>
      <w:r>
        <w:rPr>
          <w:szCs w:val="21"/>
        </w:rPr>
        <w:t>以随机抽样的方式在被抽样销售者的待销产品中抽取。</w:t>
      </w:r>
    </w:p>
    <w:p w14:paraId="10648968">
      <w:pPr>
        <w:snapToGrid w:val="0"/>
        <w:spacing w:line="440" w:lineRule="exact"/>
        <w:ind w:firstLine="420" w:firstLineChars="200"/>
        <w:rPr>
          <w:szCs w:val="21"/>
        </w:rPr>
      </w:pPr>
      <w:r>
        <w:rPr>
          <w:szCs w:val="21"/>
        </w:rPr>
        <w:t>随机数一般可使用随机数表等方法产生。</w:t>
      </w:r>
    </w:p>
    <w:p w14:paraId="1EDA35D7">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每批次产品抽取样品</w:t>
      </w:r>
      <w:r>
        <w:rPr>
          <w:rFonts w:hint="eastAsia" w:cs="Times New Roman"/>
          <w:szCs w:val="21"/>
          <w:lang w:val="en-US" w:eastAsia="zh-CN"/>
        </w:rPr>
        <w:t>4顶</w:t>
      </w:r>
      <w:r>
        <w:rPr>
          <w:rFonts w:hint="default" w:ascii="Times New Roman" w:hAnsi="Times New Roman" w:cs="Times New Roman"/>
          <w:szCs w:val="21"/>
        </w:rPr>
        <w:t>，其中</w:t>
      </w:r>
      <w:r>
        <w:rPr>
          <w:rFonts w:hint="eastAsia" w:cs="Times New Roman"/>
          <w:szCs w:val="21"/>
          <w:lang w:val="en-US" w:eastAsia="zh-CN"/>
        </w:rPr>
        <w:t>2顶</w:t>
      </w:r>
      <w:r>
        <w:rPr>
          <w:rFonts w:hint="default" w:ascii="Times New Roman" w:hAnsi="Times New Roman" w:cs="Times New Roman"/>
          <w:szCs w:val="21"/>
        </w:rPr>
        <w:t>作为检验样品，</w:t>
      </w:r>
      <w:r>
        <w:rPr>
          <w:rFonts w:hint="eastAsia" w:cs="Times New Roman"/>
          <w:szCs w:val="21"/>
          <w:lang w:val="en-US" w:eastAsia="zh-CN"/>
        </w:rPr>
        <w:t>2顶</w:t>
      </w:r>
      <w:r>
        <w:rPr>
          <w:rFonts w:hint="default" w:ascii="Times New Roman" w:hAnsi="Times New Roman" w:cs="Times New Roman"/>
          <w:szCs w:val="21"/>
        </w:rPr>
        <w:t>作为备用样品。</w:t>
      </w:r>
    </w:p>
    <w:p w14:paraId="346DBC18">
      <w:pPr>
        <w:snapToGrid w:val="0"/>
        <w:spacing w:line="440" w:lineRule="exact"/>
        <w:rPr>
          <w:rFonts w:hint="default" w:ascii="Times New Roman" w:hAnsi="Times New Roman" w:cs="Times New Roman"/>
          <w:szCs w:val="21"/>
        </w:rPr>
      </w:pPr>
    </w:p>
    <w:p w14:paraId="195579FE">
      <w:pPr>
        <w:snapToGrid w:val="0"/>
        <w:spacing w:line="440" w:lineRule="exact"/>
        <w:rPr>
          <w:rStyle w:val="10"/>
          <w:rFonts w:hint="default" w:ascii="Times New Roman" w:hAnsi="Times New Roman" w:cs="Times New Roman"/>
        </w:rPr>
      </w:pPr>
      <w:r>
        <w:rPr>
          <w:rFonts w:hint="default" w:ascii="Times New Roman" w:hAnsi="Times New Roman" w:eastAsia="黑体" w:cs="Times New Roman"/>
          <w:szCs w:val="21"/>
        </w:rPr>
        <w:t>2 检验依据</w:t>
      </w:r>
    </w:p>
    <w:p w14:paraId="62072EDA">
      <w:pPr>
        <w:snapToGrid w:val="0"/>
        <w:spacing w:line="440" w:lineRule="exact"/>
        <w:jc w:val="center"/>
        <w:rPr>
          <w:rStyle w:val="10"/>
          <w:rFonts w:hint="default" w:ascii="Times New Roman" w:hAnsi="Times New Roman" w:eastAsia="宋体" w:cs="Times New Roman"/>
          <w:lang w:val="en-US" w:eastAsia="zh-CN"/>
        </w:rPr>
      </w:pPr>
      <w:r>
        <w:rPr>
          <w:rStyle w:val="10"/>
          <w:rFonts w:hint="eastAsia" w:cs="Times New Roman"/>
          <w:lang w:val="en-US" w:eastAsia="zh-CN"/>
        </w:rPr>
        <w:t>表1 儿童头盔（</w:t>
      </w:r>
      <w:r>
        <w:rPr>
          <w:rFonts w:hint="default" w:ascii="Times New Roman" w:hAnsi="Times New Roman" w:eastAsia="宋体" w:cs="Times New Roman"/>
          <w:b w:val="0"/>
          <w:bCs w:val="0"/>
          <w:i w:val="0"/>
          <w:iCs w:val="0"/>
          <w:color w:val="000000"/>
          <w:kern w:val="0"/>
          <w:sz w:val="21"/>
          <w:szCs w:val="21"/>
          <w:u w:val="none"/>
          <w:lang w:val="en-US" w:eastAsia="zh-CN" w:bidi="ar"/>
        </w:rPr>
        <w:t>GB 811</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2022</w:t>
      </w:r>
      <w:r>
        <w:rPr>
          <w:rStyle w:val="10"/>
          <w:rFonts w:hint="eastAsia" w:cs="Times New Roman"/>
          <w:lang w:val="en-US" w:eastAsia="zh-CN"/>
        </w:rPr>
        <w:t>）检验项目</w:t>
      </w:r>
    </w:p>
    <w:tbl>
      <w:tblPr>
        <w:tblStyle w:val="7"/>
        <w:tblW w:w="8597" w:type="dxa"/>
        <w:jc w:val="center"/>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Layout w:type="fixed"/>
        <w:tblCellMar>
          <w:top w:w="0" w:type="dxa"/>
          <w:left w:w="0" w:type="dxa"/>
          <w:bottom w:w="0" w:type="dxa"/>
          <w:right w:w="0" w:type="dxa"/>
        </w:tblCellMar>
      </w:tblPr>
      <w:tblGrid>
        <w:gridCol w:w="974"/>
        <w:gridCol w:w="4353"/>
        <w:gridCol w:w="3270"/>
      </w:tblGrid>
      <w:tr w14:paraId="3C675F9A">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071C7AC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序号</w:t>
            </w:r>
          </w:p>
        </w:tc>
        <w:tc>
          <w:tcPr>
            <w:tcW w:w="4353" w:type="dxa"/>
            <w:tcBorders>
              <w:top w:val="single" w:color="auto" w:sz="4" w:space="0"/>
              <w:left w:val="single" w:color="auto" w:sz="4" w:space="0"/>
              <w:bottom w:val="single" w:color="auto" w:sz="4" w:space="0"/>
              <w:right w:val="single" w:color="auto" w:sz="4" w:space="0"/>
            </w:tcBorders>
            <w:noWrap w:val="0"/>
            <w:vAlign w:val="center"/>
          </w:tcPr>
          <w:p w14:paraId="415674C1">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检验项目</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7489643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检验方法</w:t>
            </w:r>
          </w:p>
        </w:tc>
      </w:tr>
      <w:tr w14:paraId="6BB52977">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121FACD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963F9AD">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壳体</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79C47A85">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rPr>
            </w:pPr>
            <w:r>
              <w:rPr>
                <w:rFonts w:hint="eastAsia"/>
                <w:szCs w:val="21"/>
              </w:rPr>
              <w:t>GB 811-2022</w:t>
            </w:r>
          </w:p>
        </w:tc>
      </w:tr>
      <w:tr w14:paraId="2B12B3B4">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28BABA85">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43A6F22">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缓冲层</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2F7B73A0">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eastAsia"/>
                <w:szCs w:val="21"/>
              </w:rPr>
              <w:t>GB 811-2022</w:t>
            </w:r>
          </w:p>
        </w:tc>
      </w:tr>
      <w:tr w14:paraId="2857A296">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7C20ECA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3</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03C1ACC">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佩戴装置</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52D7CDF6">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eastAsia"/>
                <w:szCs w:val="21"/>
              </w:rPr>
              <w:t>GB 811-2022</w:t>
            </w:r>
          </w:p>
        </w:tc>
      </w:tr>
      <w:tr w14:paraId="3B6F89D7">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2C879B5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4</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674C483">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视野</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508283FA">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eastAsia"/>
                <w:szCs w:val="21"/>
              </w:rPr>
              <w:t>GB 811-2022</w:t>
            </w:r>
          </w:p>
        </w:tc>
      </w:tr>
      <w:tr w14:paraId="27FC4A09">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1D0B0226">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5</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53AA0F6">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护目镜</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610E18BD">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eastAsia"/>
                <w:szCs w:val="21"/>
              </w:rPr>
              <w:t>GB 811-2022</w:t>
            </w:r>
          </w:p>
        </w:tc>
      </w:tr>
      <w:tr w14:paraId="235BA882">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310E437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6</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center"/>
          </w:tcPr>
          <w:p w14:paraId="48E91F1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表面摩擦力</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1B919C69">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eastAsia"/>
                <w:szCs w:val="21"/>
              </w:rPr>
              <w:t>GB 811-2022</w:t>
            </w:r>
          </w:p>
        </w:tc>
      </w:tr>
      <w:tr w14:paraId="72A9020E">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6D0C53C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7</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center"/>
          </w:tcPr>
          <w:p w14:paraId="2D53447E">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固定装置稳定性</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38489F83">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szCs w:val="21"/>
              </w:rPr>
              <w:t>GB 811-2022</w:t>
            </w:r>
          </w:p>
        </w:tc>
      </w:tr>
      <w:tr w14:paraId="7B9EF12F">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6ADE2B59">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8</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center"/>
          </w:tcPr>
          <w:p w14:paraId="1B14ACA8">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佩戴装置强度</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70FCC9A1">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szCs w:val="21"/>
              </w:rPr>
              <w:t>GB 811-2022</w:t>
            </w:r>
          </w:p>
        </w:tc>
      </w:tr>
      <w:tr w14:paraId="38CCFB56">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3B3C0CD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9</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center"/>
          </w:tcPr>
          <w:p w14:paraId="68076F52">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吸收碰撞能量（低温）</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03F04C53">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szCs w:val="21"/>
              </w:rPr>
              <w:t>GB 811-2022</w:t>
            </w:r>
          </w:p>
        </w:tc>
      </w:tr>
      <w:tr w14:paraId="7954326B">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6E51461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cs="Times New Roman"/>
                <w:color w:val="auto"/>
                <w:sz w:val="21"/>
                <w:szCs w:val="21"/>
                <w:lang w:val="en-US" w:eastAsia="zh-CN"/>
              </w:rPr>
              <w:t>10</w:t>
            </w:r>
          </w:p>
        </w:tc>
        <w:tc>
          <w:tcPr>
            <w:tcW w:w="0" w:type="auto"/>
            <w:tcBorders>
              <w:top w:val="single" w:color="auto" w:sz="4" w:space="0"/>
              <w:left w:val="single" w:color="auto" w:sz="4" w:space="0"/>
              <w:bottom w:val="single" w:color="auto" w:sz="4" w:space="0"/>
              <w:right w:val="single" w:color="auto" w:sz="4" w:space="0"/>
            </w:tcBorders>
            <w:shd w:val="clear" w:color="auto" w:fill="auto"/>
            <w:noWrap w:val="0"/>
            <w:vAlign w:val="center"/>
          </w:tcPr>
          <w:p w14:paraId="04DAB827">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耐穿透（低温</w:t>
            </w:r>
            <w:r>
              <w:rPr>
                <w:rFonts w:hint="eastAsia" w:cs="Times New Roman"/>
                <w:b w:val="0"/>
                <w:bCs w:val="0"/>
                <w:i w:val="0"/>
                <w:iCs w:val="0"/>
                <w:color w:val="000000"/>
                <w:kern w:val="0"/>
                <w:sz w:val="21"/>
                <w:szCs w:val="21"/>
                <w:u w:val="none"/>
                <w:lang w:val="en-US" w:eastAsia="zh-CN" w:bidi="ar"/>
              </w:rPr>
              <w:t>）</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04F563AC">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szCs w:val="21"/>
              </w:rPr>
              <w:t>GB 811-2022</w:t>
            </w:r>
          </w:p>
        </w:tc>
      </w:tr>
    </w:tbl>
    <w:p w14:paraId="04D07636">
      <w:pPr>
        <w:snapToGrid w:val="0"/>
        <w:spacing w:line="440" w:lineRule="exact"/>
        <w:jc w:val="center"/>
        <w:rPr>
          <w:rStyle w:val="10"/>
          <w:rFonts w:hint="default" w:ascii="Times New Roman" w:hAnsi="Times New Roman" w:eastAsia="宋体" w:cs="Times New Roman"/>
          <w:lang w:val="en-US" w:eastAsia="zh-CN"/>
        </w:rPr>
      </w:pPr>
      <w:r>
        <w:rPr>
          <w:rStyle w:val="10"/>
          <w:rFonts w:hint="eastAsia" w:cs="Times New Roman"/>
          <w:lang w:val="en-US" w:eastAsia="zh-CN"/>
        </w:rPr>
        <w:t>表2 儿童头盔（</w:t>
      </w:r>
      <w:r>
        <w:rPr>
          <w:rFonts w:hint="default" w:ascii="Times New Roman" w:hAnsi="Times New Roman" w:eastAsia="宋体" w:cs="Times New Roman"/>
          <w:b w:val="0"/>
          <w:bCs w:val="0"/>
          <w:i w:val="0"/>
          <w:iCs w:val="0"/>
          <w:color w:val="000000"/>
          <w:kern w:val="0"/>
          <w:sz w:val="21"/>
          <w:szCs w:val="21"/>
          <w:u w:val="none"/>
          <w:lang w:val="en-US" w:eastAsia="zh-CN" w:bidi="ar"/>
        </w:rPr>
        <w:t>GB 24429</w:t>
      </w:r>
      <w:r>
        <w:rPr>
          <w:rFonts w:hint="eastAsia" w:ascii="Times New Roman" w:hAnsi="Times New Roman" w:eastAsia="宋体" w:cs="Times New Roman"/>
          <w:b w:val="0"/>
          <w:bCs w:val="0"/>
          <w:i w:val="0"/>
          <w:iCs w:val="0"/>
          <w:color w:val="000000"/>
          <w:kern w:val="0"/>
          <w:sz w:val="21"/>
          <w:szCs w:val="21"/>
          <w:u w:val="none"/>
          <w:lang w:val="en-US" w:eastAsia="zh-CN" w:bidi="ar"/>
        </w:rPr>
        <w:t>-</w:t>
      </w:r>
      <w:r>
        <w:rPr>
          <w:rFonts w:hint="default" w:ascii="Times New Roman" w:hAnsi="Times New Roman" w:eastAsia="宋体" w:cs="Times New Roman"/>
          <w:b w:val="0"/>
          <w:bCs w:val="0"/>
          <w:i w:val="0"/>
          <w:iCs w:val="0"/>
          <w:color w:val="000000"/>
          <w:kern w:val="0"/>
          <w:sz w:val="21"/>
          <w:szCs w:val="21"/>
          <w:u w:val="none"/>
          <w:lang w:val="en-US" w:eastAsia="zh-CN" w:bidi="ar"/>
        </w:rPr>
        <w:t>2009</w:t>
      </w:r>
      <w:r>
        <w:rPr>
          <w:rStyle w:val="10"/>
          <w:rFonts w:hint="eastAsia" w:cs="Times New Roman"/>
          <w:lang w:val="en-US" w:eastAsia="zh-CN"/>
        </w:rPr>
        <w:t>）检验项目</w:t>
      </w:r>
    </w:p>
    <w:tbl>
      <w:tblPr>
        <w:tblStyle w:val="7"/>
        <w:tblW w:w="8597" w:type="dxa"/>
        <w:jc w:val="center"/>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Layout w:type="fixed"/>
        <w:tblCellMar>
          <w:top w:w="0" w:type="dxa"/>
          <w:left w:w="0" w:type="dxa"/>
          <w:bottom w:w="0" w:type="dxa"/>
          <w:right w:w="0" w:type="dxa"/>
        </w:tblCellMar>
      </w:tblPr>
      <w:tblGrid>
        <w:gridCol w:w="974"/>
        <w:gridCol w:w="4353"/>
        <w:gridCol w:w="3270"/>
      </w:tblGrid>
      <w:tr w14:paraId="1FEA777C">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341B5D56">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序号</w:t>
            </w:r>
          </w:p>
        </w:tc>
        <w:tc>
          <w:tcPr>
            <w:tcW w:w="4353" w:type="dxa"/>
            <w:tcBorders>
              <w:top w:val="single" w:color="auto" w:sz="4" w:space="0"/>
              <w:left w:val="single" w:color="auto" w:sz="4" w:space="0"/>
              <w:bottom w:val="single" w:color="auto" w:sz="4" w:space="0"/>
              <w:right w:val="single" w:color="auto" w:sz="4" w:space="0"/>
            </w:tcBorders>
            <w:noWrap w:val="0"/>
            <w:vAlign w:val="center"/>
          </w:tcPr>
          <w:p w14:paraId="533AE74F">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检验项目</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528C17F3">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检验方法</w:t>
            </w:r>
          </w:p>
        </w:tc>
      </w:tr>
      <w:tr w14:paraId="3ACBFE27">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26E508D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9068B9C">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结构</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785265C7">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lang w:val="en-US"/>
              </w:rPr>
            </w:pPr>
            <w:r>
              <w:rPr>
                <w:rFonts w:hint="eastAsia"/>
                <w:szCs w:val="21"/>
              </w:rPr>
              <w:t>GB 24429-2009</w:t>
            </w:r>
          </w:p>
        </w:tc>
      </w:tr>
      <w:tr w14:paraId="4894F8CF">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1A012FF3">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88828ED">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头盔视野</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529409C0">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eastAsia"/>
                <w:szCs w:val="21"/>
              </w:rPr>
              <w:t>GB 24429-2009</w:t>
            </w:r>
          </w:p>
        </w:tc>
      </w:tr>
      <w:tr w14:paraId="0F1686FE">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22FDD46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3</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3139E8B">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头盔佩戴装置稳定性</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68F71077">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eastAsia"/>
                <w:szCs w:val="21"/>
              </w:rPr>
              <w:t>GB 24429-2009</w:t>
            </w:r>
          </w:p>
        </w:tc>
      </w:tr>
      <w:tr w14:paraId="3EFB0640">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55C9D60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4</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183962B">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头盔佩戴装置强度性能</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2AC18BC9">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eastAsia"/>
                <w:szCs w:val="21"/>
              </w:rPr>
              <w:t>GB 24429-2009</w:t>
            </w:r>
          </w:p>
        </w:tc>
      </w:tr>
      <w:tr w14:paraId="7347B1AD">
        <w:tblPrEx>
          <w:tblBorders>
            <w:top w:val="single" w:color="B3C2D7" w:sz="6" w:space="0"/>
            <w:left w:val="single" w:color="B3C2D7" w:sz="6" w:space="0"/>
            <w:bottom w:val="single" w:color="B3C2D7" w:sz="6" w:space="0"/>
            <w:right w:val="single" w:color="B3C2D7" w:sz="6" w:space="0"/>
            <w:insideH w:val="single" w:color="B3C2D7" w:sz="6" w:space="0"/>
            <w:insideV w:val="single" w:color="B3C2D7" w:sz="6" w:space="0"/>
          </w:tblBorders>
          <w:tblCellMar>
            <w:top w:w="0" w:type="dxa"/>
            <w:left w:w="0" w:type="dxa"/>
            <w:bottom w:w="0" w:type="dxa"/>
            <w:right w:w="0" w:type="dxa"/>
          </w:tblCellMar>
        </w:tblPrEx>
        <w:trPr>
          <w:trHeight w:val="425"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14:paraId="4B8BF5A6">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5</w:t>
            </w:r>
          </w:p>
        </w:tc>
        <w:tc>
          <w:tcPr>
            <w:tcW w:w="435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0AF48E6">
            <w:pPr>
              <w:keepNext w:val="0"/>
              <w:keepLines w:val="0"/>
              <w:widowControl/>
              <w:suppressLineNumbers w:val="0"/>
              <w:jc w:val="center"/>
              <w:textAlignment w:val="center"/>
              <w:rPr>
                <w:rFonts w:hint="default" w:ascii="Times New Roman" w:hAnsi="Times New Roman" w:eastAsia="宋体" w:cs="Times New Roman"/>
                <w:b w:val="0"/>
                <w:bCs w:val="0"/>
                <w:i w:val="0"/>
                <w:iCs w:val="0"/>
                <w:color w:val="000000"/>
                <w:kern w:val="2"/>
                <w:sz w:val="21"/>
                <w:szCs w:val="21"/>
                <w:u w:val="none"/>
                <w:lang w:val="en-US" w:eastAsia="zh-CN" w:bidi="ar-SA"/>
              </w:rPr>
            </w:pPr>
            <w:r>
              <w:rPr>
                <w:rFonts w:hint="default" w:ascii="Times New Roman" w:hAnsi="Times New Roman" w:eastAsia="宋体" w:cs="Times New Roman"/>
                <w:b w:val="0"/>
                <w:bCs w:val="0"/>
                <w:i w:val="0"/>
                <w:iCs w:val="0"/>
                <w:color w:val="000000"/>
                <w:kern w:val="0"/>
                <w:sz w:val="21"/>
                <w:szCs w:val="21"/>
                <w:u w:val="none"/>
                <w:lang w:val="en-US" w:eastAsia="zh-CN" w:bidi="ar"/>
              </w:rPr>
              <w:t>头盔吸收碰撞能量性能（低温）</w:t>
            </w:r>
          </w:p>
        </w:tc>
        <w:tc>
          <w:tcPr>
            <w:tcW w:w="3270" w:type="dxa"/>
            <w:tcBorders>
              <w:top w:val="single" w:color="auto" w:sz="4" w:space="0"/>
              <w:left w:val="single" w:color="auto" w:sz="4" w:space="0"/>
              <w:bottom w:val="single" w:color="auto" w:sz="4" w:space="0"/>
              <w:right w:val="single" w:color="auto" w:sz="4" w:space="0"/>
            </w:tcBorders>
            <w:noWrap w:val="0"/>
            <w:vAlign w:val="center"/>
          </w:tcPr>
          <w:p w14:paraId="64FBB7AF">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bookmarkStart w:id="0" w:name="_GoBack"/>
            <w:bookmarkEnd w:id="0"/>
            <w:r>
              <w:rPr>
                <w:rFonts w:hint="eastAsia"/>
                <w:szCs w:val="21"/>
              </w:rPr>
              <w:t>GB 24429-2009</w:t>
            </w:r>
          </w:p>
        </w:tc>
      </w:tr>
    </w:tbl>
    <w:p w14:paraId="3A277021">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执行企业标准、团体标准、地方标准的产品，检验项目参照上述内容执行。</w:t>
      </w:r>
    </w:p>
    <w:p w14:paraId="3D353424">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凡是注日期的文件，其随后所有的修改单（不包括勘误的内容）或修订版不适用于本细则。凡是不注日期的文件，其最新版本适用于本细则。</w:t>
      </w:r>
    </w:p>
    <w:p w14:paraId="0E2144C7">
      <w:pPr>
        <w:snapToGrid w:val="0"/>
        <w:spacing w:line="440" w:lineRule="exact"/>
        <w:ind w:firstLine="359" w:firstLineChars="171"/>
        <w:rPr>
          <w:szCs w:val="21"/>
        </w:rPr>
      </w:pPr>
    </w:p>
    <w:p w14:paraId="7CBCE97C">
      <w:pPr>
        <w:spacing w:line="440" w:lineRule="exact"/>
        <w:rPr>
          <w:rFonts w:eastAsia="黑体"/>
          <w:szCs w:val="21"/>
        </w:rPr>
      </w:pPr>
      <w:r>
        <w:rPr>
          <w:rFonts w:eastAsia="黑体"/>
          <w:szCs w:val="21"/>
        </w:rPr>
        <w:t>3 判定规则</w:t>
      </w:r>
    </w:p>
    <w:p w14:paraId="66C3E02B">
      <w:pPr>
        <w:snapToGrid w:val="0"/>
        <w:spacing w:line="440" w:lineRule="exact"/>
        <w:rPr>
          <w:szCs w:val="21"/>
        </w:rPr>
      </w:pPr>
      <w:r>
        <w:rPr>
          <w:szCs w:val="21"/>
        </w:rPr>
        <w:t>3.1依据标准</w:t>
      </w:r>
    </w:p>
    <w:p w14:paraId="31477BAB">
      <w:pPr>
        <w:snapToGrid w:val="0"/>
        <w:spacing w:line="440" w:lineRule="exact"/>
        <w:ind w:firstLine="420" w:firstLineChars="200"/>
        <w:rPr>
          <w:rFonts w:hint="eastAsia"/>
          <w:szCs w:val="21"/>
        </w:rPr>
      </w:pPr>
      <w:r>
        <w:rPr>
          <w:rFonts w:hint="eastAsia"/>
          <w:szCs w:val="21"/>
        </w:rPr>
        <w:t>GB 811-2022摩托车、电动自行车乘员头盔</w:t>
      </w:r>
    </w:p>
    <w:p w14:paraId="25A6D17B">
      <w:pPr>
        <w:snapToGrid w:val="0"/>
        <w:spacing w:line="440" w:lineRule="exact"/>
        <w:ind w:firstLine="420" w:firstLineChars="200"/>
        <w:rPr>
          <w:szCs w:val="21"/>
        </w:rPr>
      </w:pPr>
      <w:r>
        <w:rPr>
          <w:rFonts w:hint="eastAsia"/>
          <w:szCs w:val="21"/>
        </w:rPr>
        <w:t>GB 24429-2009运动头盔 自行车、滑板、轮滑运动头盔的安全要求和试验方法</w:t>
      </w:r>
    </w:p>
    <w:p w14:paraId="51FDC171">
      <w:pPr>
        <w:snapToGrid w:val="0"/>
        <w:spacing w:line="440" w:lineRule="exact"/>
        <w:ind w:firstLine="359" w:firstLineChars="171"/>
        <w:rPr>
          <w:szCs w:val="21"/>
        </w:rPr>
      </w:pPr>
      <w:r>
        <w:rPr>
          <w:szCs w:val="21"/>
        </w:rPr>
        <w:t>现行有效的企业标准、团体标准、地方标准及产品明示质量要求</w:t>
      </w:r>
    </w:p>
    <w:p w14:paraId="282A610F">
      <w:pPr>
        <w:snapToGrid w:val="0"/>
        <w:spacing w:line="440" w:lineRule="exact"/>
        <w:rPr>
          <w:szCs w:val="21"/>
        </w:rPr>
      </w:pPr>
      <w:r>
        <w:rPr>
          <w:szCs w:val="21"/>
        </w:rPr>
        <w:t>3.2判定原则</w:t>
      </w:r>
    </w:p>
    <w:p w14:paraId="1051D161">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28153359">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F5C3D3C">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7FB2D40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5042A6CC">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2B72563">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11AA876-9DD5-4F47-87CC-F9B74C57C8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AA461F87-BA8E-4760-BC60-FCBD219BA9B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C818D">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800BEC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35A5">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23EB96C5">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671ED">
    <w:pPr>
      <w:pStyle w:val="5"/>
      <w:jc w:val="left"/>
      <w:rPr>
        <w:rFonts w:hint="default" w:eastAsia="宋体"/>
        <w:lang w:val="en-US" w:eastAsia="zh-CN"/>
      </w:rPr>
    </w:pPr>
    <w:r>
      <w:pict>
        <v:shape id="_x0000_s1025" o:spid="_x0000_s1025" o:spt="202" type="#_x0000_t202" style="position:absolute;left:0pt;margin-top:0pt;height:13.4pt;width:67.55pt;mso-position-horizontal:right;mso-position-horizontal-relative:margin;mso-wrap-style:none;z-index:251659264;mso-width-relative:page;mso-height-relative:page;" filled="f" stroked="f" coordsize="21600,21600" o:gfxdata="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AIBMXSAAAABAEAAA8AAAAAAAAAAQAgAAAAIgAAAGRycy9k&#10;b3ducmV2LnhtbFBLAQIUABQAAAAIAIdO4kDThQC1CAIAAAIEAAAOAAAAAAAAAAEAIAAAACEBAABk&#10;cnMvZTJvRG9jLnhtbFBLBQYAAAAABgAGAFkBAACbBQAAAAA=&#10;">
          <v:path/>
          <v:fill on="f" focussize="0,0"/>
          <v:stroke on="f" joinstyle="miter"/>
          <v:imagedata o:title=""/>
          <o:lock v:ext="edit"/>
          <v:textbox inset="0mm,0mm,0mm,0mm" style="mso-fit-shape-to-text:t;">
            <w:txbxContent>
              <w:p w14:paraId="272C6C8C">
                <w:pPr>
                  <w:pStyle w:val="5"/>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t>2</w:t>
                </w:r>
                <w:r>
                  <w:rPr>
                    <w:rFonts w:hint="eastAsia"/>
                  </w:rPr>
                  <w:t xml:space="preserve"> 页</w:t>
                </w:r>
              </w:p>
            </w:txbxContent>
          </v:textbox>
        </v:shape>
      </w:pict>
    </w:r>
    <w:r>
      <w:rPr>
        <w:rFonts w:hint="eastAsia"/>
        <w:sz w:val="21"/>
        <w:szCs w:val="21"/>
      </w:rPr>
      <w:t>榕市监消则(202</w:t>
    </w:r>
    <w:r>
      <w:rPr>
        <w:rFonts w:hint="eastAsia"/>
        <w:sz w:val="21"/>
        <w:szCs w:val="21"/>
        <w:lang w:val="en-US" w:eastAsia="zh-CN"/>
      </w:rPr>
      <w:t>6</w:t>
    </w:r>
    <w:r>
      <w:rPr>
        <w:rFonts w:hint="eastAsia"/>
        <w:sz w:val="21"/>
        <w:szCs w:val="21"/>
      </w:rPr>
      <w:t>)-</w:t>
    </w:r>
    <w:r>
      <w:rPr>
        <w:rFonts w:hint="eastAsia"/>
        <w:sz w:val="21"/>
        <w:szCs w:val="21"/>
        <w:lang w:val="en-US" w:eastAsia="zh-CN"/>
      </w:rPr>
      <w:t>050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mMzM0NDZlYmFhMGYzODIyNTNkYjdmNzNmMjU5YjgifQ=="/>
  </w:docVars>
  <w:rsids>
    <w:rsidRoot w:val="00172A27"/>
    <w:rsid w:val="00010EB8"/>
    <w:rsid w:val="00016E8C"/>
    <w:rsid w:val="00051A44"/>
    <w:rsid w:val="00081CBD"/>
    <w:rsid w:val="000976DE"/>
    <w:rsid w:val="000E64EC"/>
    <w:rsid w:val="000F526D"/>
    <w:rsid w:val="00123D1C"/>
    <w:rsid w:val="001307D3"/>
    <w:rsid w:val="00153E5C"/>
    <w:rsid w:val="00172A27"/>
    <w:rsid w:val="001809DD"/>
    <w:rsid w:val="001B047F"/>
    <w:rsid w:val="002248FC"/>
    <w:rsid w:val="00232530"/>
    <w:rsid w:val="0024207A"/>
    <w:rsid w:val="00253624"/>
    <w:rsid w:val="00257D6A"/>
    <w:rsid w:val="002A4E85"/>
    <w:rsid w:val="002D7F8A"/>
    <w:rsid w:val="002E0D1D"/>
    <w:rsid w:val="002E3CBD"/>
    <w:rsid w:val="003203A3"/>
    <w:rsid w:val="00365CBE"/>
    <w:rsid w:val="003A7D30"/>
    <w:rsid w:val="003C388C"/>
    <w:rsid w:val="003C6C98"/>
    <w:rsid w:val="003D09A1"/>
    <w:rsid w:val="003E61BF"/>
    <w:rsid w:val="003F3390"/>
    <w:rsid w:val="004104AC"/>
    <w:rsid w:val="00445E86"/>
    <w:rsid w:val="0045434D"/>
    <w:rsid w:val="00474E04"/>
    <w:rsid w:val="004D0C5A"/>
    <w:rsid w:val="004D184C"/>
    <w:rsid w:val="004E1396"/>
    <w:rsid w:val="004E6C21"/>
    <w:rsid w:val="00563EBC"/>
    <w:rsid w:val="00583AC9"/>
    <w:rsid w:val="005C747C"/>
    <w:rsid w:val="006E1171"/>
    <w:rsid w:val="006F0971"/>
    <w:rsid w:val="0072334C"/>
    <w:rsid w:val="007863A0"/>
    <w:rsid w:val="007A4D3E"/>
    <w:rsid w:val="007B2FDE"/>
    <w:rsid w:val="007C1DD3"/>
    <w:rsid w:val="00895BEA"/>
    <w:rsid w:val="008A3497"/>
    <w:rsid w:val="008C6624"/>
    <w:rsid w:val="00917A54"/>
    <w:rsid w:val="0092236A"/>
    <w:rsid w:val="009D3EEF"/>
    <w:rsid w:val="00A05840"/>
    <w:rsid w:val="00A23D98"/>
    <w:rsid w:val="00A268A0"/>
    <w:rsid w:val="00A27812"/>
    <w:rsid w:val="00A43553"/>
    <w:rsid w:val="00A74D3C"/>
    <w:rsid w:val="00AA278E"/>
    <w:rsid w:val="00AB0E18"/>
    <w:rsid w:val="00AB17CD"/>
    <w:rsid w:val="00AB79D2"/>
    <w:rsid w:val="00AC5391"/>
    <w:rsid w:val="00AE5B4D"/>
    <w:rsid w:val="00AF2FFB"/>
    <w:rsid w:val="00B020A8"/>
    <w:rsid w:val="00B0492C"/>
    <w:rsid w:val="00B65F23"/>
    <w:rsid w:val="00B842C7"/>
    <w:rsid w:val="00BF2B8C"/>
    <w:rsid w:val="00C26074"/>
    <w:rsid w:val="00C6713F"/>
    <w:rsid w:val="00C83B0A"/>
    <w:rsid w:val="00CE1E0C"/>
    <w:rsid w:val="00CE277E"/>
    <w:rsid w:val="00D17276"/>
    <w:rsid w:val="00D34867"/>
    <w:rsid w:val="00D56867"/>
    <w:rsid w:val="00D908C9"/>
    <w:rsid w:val="00E02A7F"/>
    <w:rsid w:val="00E04DC6"/>
    <w:rsid w:val="00E06FB9"/>
    <w:rsid w:val="00E07880"/>
    <w:rsid w:val="00E533E6"/>
    <w:rsid w:val="00E82621"/>
    <w:rsid w:val="00E86DAB"/>
    <w:rsid w:val="00E94926"/>
    <w:rsid w:val="00F05B8F"/>
    <w:rsid w:val="00F06B9D"/>
    <w:rsid w:val="00F77C9A"/>
    <w:rsid w:val="00F85E0C"/>
    <w:rsid w:val="00FB576C"/>
    <w:rsid w:val="00FD2AA6"/>
    <w:rsid w:val="00FE7E8A"/>
    <w:rsid w:val="097757CB"/>
    <w:rsid w:val="11563470"/>
    <w:rsid w:val="1A597193"/>
    <w:rsid w:val="20971CA1"/>
    <w:rsid w:val="277A0467"/>
    <w:rsid w:val="32C36D23"/>
    <w:rsid w:val="372306C9"/>
    <w:rsid w:val="3ABB1882"/>
    <w:rsid w:val="3EBD2D69"/>
    <w:rsid w:val="42EE08DB"/>
    <w:rsid w:val="466F602F"/>
    <w:rsid w:val="482B4374"/>
    <w:rsid w:val="49557320"/>
    <w:rsid w:val="4A451AD6"/>
    <w:rsid w:val="4FC76963"/>
    <w:rsid w:val="5416273B"/>
    <w:rsid w:val="547408E3"/>
    <w:rsid w:val="59993355"/>
    <w:rsid w:val="64967B8E"/>
    <w:rsid w:val="66422EB1"/>
    <w:rsid w:val="77741E4A"/>
    <w:rsid w:val="7A1D0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Char"/>
    <w:link w:val="2"/>
    <w:semiHidden/>
    <w:qFormat/>
    <w:uiPriority w:val="99"/>
    <w:rPr>
      <w:kern w:val="2"/>
      <w:sz w:val="21"/>
      <w:szCs w:val="24"/>
    </w:rPr>
  </w:style>
  <w:style w:type="character" w:customStyle="1" w:styleId="12">
    <w:name w:val="批注框文本 Char"/>
    <w:link w:val="3"/>
    <w:semiHidden/>
    <w:qFormat/>
    <w:uiPriority w:val="99"/>
    <w:rPr>
      <w:kern w:val="2"/>
      <w:sz w:val="18"/>
      <w:szCs w:val="18"/>
    </w:rPr>
  </w:style>
  <w:style w:type="character" w:customStyle="1" w:styleId="13">
    <w:name w:val="页脚 Char"/>
    <w:link w:val="4"/>
    <w:qFormat/>
    <w:uiPriority w:val="99"/>
    <w:rPr>
      <w:kern w:val="2"/>
      <w:sz w:val="18"/>
      <w:szCs w:val="18"/>
    </w:rPr>
  </w:style>
  <w:style w:type="character" w:customStyle="1" w:styleId="14">
    <w:name w:val="页眉 Char"/>
    <w:link w:val="5"/>
    <w:semiHidden/>
    <w:qFormat/>
    <w:uiPriority w:val="99"/>
    <w:rPr>
      <w:kern w:val="2"/>
      <w:sz w:val="18"/>
      <w:szCs w:val="18"/>
    </w:rPr>
  </w:style>
  <w:style w:type="character" w:customStyle="1" w:styleId="15">
    <w:name w:val="批注主题 Char"/>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无间隔1"/>
    <w:qFormat/>
    <w:uiPriority w:val="0"/>
    <w:pPr>
      <w:widowControl w:val="0"/>
      <w:spacing w:line="400" w:lineRule="exact"/>
      <w:jc w:val="both"/>
    </w:pPr>
    <w:rPr>
      <w:rFonts w:ascii="Calibri"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639</Words>
  <Characters>723</Characters>
  <Lines>10</Lines>
  <Paragraphs>2</Paragraphs>
  <TotalTime>0</TotalTime>
  <ScaleCrop>false</ScaleCrop>
  <LinksUpToDate>false</LinksUpToDate>
  <CharactersWithSpaces>734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2024-06-21T05:30:00Z</dcterms:created>
  <dc:creator>4979</dc:creator>
  <cp:lastModifiedBy>.</cp:lastModifiedBy>
  <cp:lastPrinted>2019-12-05T07:53:00Z</cp:lastPrinted>
  <dcterms:modified xsi:type="dcterms:W3CDTF">2026-08-19T05:41:03Z</dcterms:modified>
  <dc:title>按摩器具产品质量监督抽查实施细则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eyJoZGlkIjoiNzc0MTY5ZWZkMWRiZTVmYTYzZTQ5MWFhZmRhZTBhMjEiLCJ1c2VySWQiOiI1NDMxMTk2OTYifQ==</vt:lpwstr>
  </property>
</Properties>
</file>